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0"/>
        <w:jc w:val="left"/>
        <w:rPr>
          <w:rFonts w:ascii="仿宋_GB2312" w:hAnsi="仿宋_GB2312" w:eastAsia="仿宋_GB2312" w:cs="仿宋_GB2312"/>
          <w:sz w:val="24"/>
        </w:rPr>
      </w:pPr>
      <w:r>
        <w:rPr>
          <w:rFonts w:hint="eastAsia" w:ascii="仿宋_GB2312" w:hAnsi="仿宋_GB2312" w:eastAsia="仿宋_GB2312" w:cs="仿宋_GB2312"/>
          <w:b/>
          <w:sz w:val="28"/>
          <w:szCs w:val="28"/>
        </w:rPr>
        <w:t>附件2-2</w:t>
      </w:r>
    </w:p>
    <w:p>
      <w:pPr>
        <w:spacing w:line="600" w:lineRule="exact"/>
        <w:ind w:left="0"/>
        <w:jc w:val="center"/>
        <w:rPr>
          <w:rFonts w:hint="eastAsia" w:ascii="宋体" w:hAnsi="宋体"/>
          <w:b/>
          <w:w w:val="85"/>
          <w:sz w:val="36"/>
          <w:szCs w:val="36"/>
          <w:lang w:val="en-US" w:eastAsia="zh-CN"/>
        </w:rPr>
      </w:pPr>
      <w:r>
        <w:rPr>
          <w:rFonts w:hint="eastAsia" w:ascii="宋体" w:hAnsi="宋体"/>
          <w:b/>
          <w:w w:val="85"/>
          <w:sz w:val="36"/>
          <w:szCs w:val="36"/>
        </w:rPr>
        <w:t>2024</w:t>
      </w:r>
      <w:r>
        <w:rPr>
          <w:rFonts w:ascii="宋体" w:hAnsi="宋体"/>
          <w:b/>
          <w:w w:val="85"/>
          <w:sz w:val="36"/>
          <w:szCs w:val="36"/>
        </w:rPr>
        <w:t>年度新晃</w:t>
      </w:r>
      <w:r>
        <w:rPr>
          <w:rFonts w:hint="eastAsia" w:ascii="宋体" w:hAnsi="宋体"/>
          <w:b/>
          <w:w w:val="85"/>
          <w:sz w:val="36"/>
          <w:szCs w:val="36"/>
          <w:lang w:val="en-US" w:eastAsia="zh-CN"/>
        </w:rPr>
        <w:t>侗族自治县市场监督管理局</w:t>
      </w:r>
    </w:p>
    <w:p>
      <w:pPr>
        <w:spacing w:line="600" w:lineRule="exact"/>
        <w:ind w:left="0"/>
        <w:jc w:val="center"/>
        <w:rPr>
          <w:rFonts w:ascii="宋体" w:hAnsi="宋体"/>
          <w:b/>
          <w:w w:val="85"/>
          <w:sz w:val="36"/>
          <w:szCs w:val="36"/>
        </w:rPr>
      </w:pPr>
      <w:r>
        <w:rPr>
          <w:rFonts w:hint="eastAsia" w:ascii="宋体" w:hAnsi="宋体"/>
          <w:b/>
          <w:w w:val="85"/>
          <w:sz w:val="36"/>
          <w:szCs w:val="36"/>
        </w:rPr>
        <w:t>其他人员经费</w:t>
      </w:r>
      <w:r>
        <w:rPr>
          <w:rFonts w:ascii="宋体" w:hAnsi="宋体"/>
          <w:b/>
          <w:w w:val="85"/>
          <w:sz w:val="36"/>
          <w:szCs w:val="36"/>
        </w:rPr>
        <w:t>项目</w:t>
      </w: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pPr>
        <w:spacing w:beforeLines="50" w:line="240" w:lineRule="exact"/>
        <w:ind w:firstLine="482"/>
        <w:jc w:val="center"/>
        <w:rPr>
          <w:rFonts w:eastAsia="仿宋_GB2312"/>
          <w:szCs w:val="21"/>
        </w:rPr>
      </w:pPr>
      <w:r>
        <w:rPr>
          <w:rFonts w:hint="eastAsia" w:eastAsia="仿宋_GB2312"/>
          <w:szCs w:val="21"/>
          <w:lang w:val="en-US" w:eastAsia="zh-CN"/>
        </w:rPr>
        <w:t xml:space="preserve">                                                          </w:t>
      </w:r>
      <w:r>
        <w:rPr>
          <w:rFonts w:eastAsia="仿宋_GB2312"/>
          <w:szCs w:val="21"/>
        </w:rPr>
        <w:t>金额单位：万元</w:t>
      </w:r>
    </w:p>
    <w:tbl>
      <w:tblPr>
        <w:tblStyle w:val="7"/>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新晃县市场监督管理局</w:t>
            </w:r>
          </w:p>
        </w:tc>
        <w:tc>
          <w:tcPr>
            <w:tcW w:w="1628"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其他人员经费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1628"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吴刚</w:t>
            </w:r>
          </w:p>
        </w:tc>
        <w:tc>
          <w:tcPr>
            <w:tcW w:w="1206"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13874514757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ign w:val="center"/>
          </w:tcPr>
          <w:p>
            <w:pPr>
              <w:spacing w:line="320" w:lineRule="exact"/>
              <w:jc w:val="center"/>
              <w:rPr>
                <w:rFonts w:ascii="仿宋_GB2312" w:hAnsi="仿宋_GB2312" w:eastAsia="仿宋_GB2312" w:cs="仿宋_GB2312"/>
                <w:szCs w:val="21"/>
              </w:rPr>
            </w:pPr>
          </w:p>
        </w:tc>
        <w:tc>
          <w:tcPr>
            <w:tcW w:w="1143"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1800" w:type="dxa"/>
            <w:noWrap/>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5.175</w:t>
            </w:r>
          </w:p>
        </w:tc>
        <w:tc>
          <w:tcPr>
            <w:tcW w:w="1628" w:type="dxa"/>
            <w:noWrap/>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5.175</w:t>
            </w:r>
          </w:p>
        </w:tc>
        <w:tc>
          <w:tcPr>
            <w:tcW w:w="2303" w:type="dxa"/>
            <w:gridSpan w:val="2"/>
            <w:noWrap/>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5.175</w:t>
            </w:r>
          </w:p>
        </w:tc>
        <w:tc>
          <w:tcPr>
            <w:tcW w:w="1702" w:type="dxa"/>
            <w:gridSpan w:val="2"/>
            <w:noWrap/>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该项目预算执行率为%。根据实际情况评分</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本项目建立了专项资金项目管理制度，并严格按相关制度执行。</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restart"/>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vMerge w:val="restart"/>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shd w:val="clear" w:color="auto" w:fill="auto"/>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产出目标：保障遗属人员、临聘、独生子女奖励对象福利待遇计10分。</w:t>
            </w:r>
          </w:p>
        </w:tc>
        <w:tc>
          <w:tcPr>
            <w:tcW w:w="832" w:type="dxa"/>
            <w:noWrap/>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1143" w:type="dxa"/>
            <w:vMerge w:val="continue"/>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shd w:val="clear" w:color="auto" w:fill="auto"/>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产出数量：确保遗属人员、临聘、独生子女奖励对象福利待遇按时发放，计5分。</w:t>
            </w:r>
          </w:p>
        </w:tc>
        <w:tc>
          <w:tcPr>
            <w:tcW w:w="832" w:type="dxa"/>
            <w:noWrap/>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5</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1143" w:type="dxa"/>
            <w:vMerge w:val="continue"/>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shd w:val="clear" w:color="auto" w:fill="auto"/>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产出时效：确保遗属人员、临聘、独生子女奖励对象福利待遇发放到位，计10分。</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1143" w:type="dxa"/>
            <w:vMerge w:val="continue"/>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shd w:val="clear" w:color="auto" w:fill="auto"/>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成本控制：其他人员经费4.65万元，按照控制数执行，计5分。</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9" w:hRule="atLeast"/>
          <w:tblCellSpacing w:w="0" w:type="dxa"/>
        </w:trPr>
        <w:tc>
          <w:tcPr>
            <w:tcW w:w="1312"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项目效益：长期稳步提其他人员生活补贴水平计20分</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服务对象满意度：采取电话访问，互联网平台信息收集等形式通过满意度调查，满意度达到99%</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p>
        </w:tc>
        <w:tc>
          <w:tcPr>
            <w:tcW w:w="832" w:type="dxa"/>
            <w:noWrap/>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noWrap/>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3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7</w:t>
            </w:r>
          </w:p>
        </w:tc>
        <w:tc>
          <w:tcPr>
            <w:tcW w:w="870"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7433" w:type="dxa"/>
            <w:gridSpan w:val="6"/>
            <w:noWrap/>
            <w:tcMar>
              <w:top w:w="0" w:type="dxa"/>
              <w:left w:w="105" w:type="dxa"/>
              <w:bottom w:w="0" w:type="dxa"/>
              <w:right w:w="105" w:type="dxa"/>
            </w:tcMar>
            <w:vAlign w:val="center"/>
          </w:tcPr>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00" w:lineRule="exact"/>
        <w:rPr>
          <w:rFonts w:ascii="仿宋_GB2312" w:hAnsi="仿宋_GB2312" w:eastAsia="仿宋_GB2312" w:cs="仿宋_GB2312"/>
          <w:sz w:val="22"/>
          <w:szCs w:val="22"/>
        </w:rPr>
      </w:pPr>
      <w:r>
        <w:rPr>
          <w:rFonts w:ascii="仿宋_GB2312" w:hAnsi="仿宋_GB2312" w:eastAsia="仿宋_GB2312" w:cs="仿宋_GB2312"/>
          <w:sz w:val="22"/>
          <w:szCs w:val="22"/>
        </w:rPr>
        <w:t>单位负责人：</w:t>
      </w:r>
      <w:r>
        <w:rPr>
          <w:rFonts w:hint="eastAsia" w:ascii="仿宋_GB2312" w:hAnsi="仿宋_GB2312" w:eastAsia="仿宋_GB2312" w:cs="仿宋_GB2312"/>
          <w:sz w:val="22"/>
          <w:szCs w:val="22"/>
          <w:lang w:val="en-US" w:eastAsia="zh-CN"/>
        </w:rPr>
        <w:t xml:space="preserve"> 袁艳君 </w:t>
      </w:r>
      <w:r>
        <w:rPr>
          <w:rFonts w:ascii="仿宋_GB2312" w:hAnsi="仿宋_GB2312" w:eastAsia="仿宋_GB2312" w:cs="仿宋_GB2312"/>
          <w:sz w:val="22"/>
          <w:szCs w:val="22"/>
        </w:rPr>
        <w:t xml:space="preserve">  项目负责人：</w:t>
      </w:r>
      <w:r>
        <w:rPr>
          <w:rFonts w:hint="eastAsia" w:ascii="仿宋_GB2312" w:hAnsi="仿宋_GB2312" w:eastAsia="仿宋_GB2312" w:cs="仿宋_GB2312"/>
          <w:sz w:val="22"/>
          <w:szCs w:val="22"/>
          <w:lang w:val="en-US" w:eastAsia="zh-CN"/>
        </w:rPr>
        <w:t xml:space="preserve">         </w:t>
      </w:r>
      <w:r>
        <w:rPr>
          <w:rFonts w:ascii="仿宋_GB2312" w:hAnsi="仿宋_GB2312" w:eastAsia="仿宋_GB2312" w:cs="仿宋_GB2312"/>
          <w:sz w:val="22"/>
          <w:szCs w:val="22"/>
        </w:rPr>
        <w:t>填表日期：</w:t>
      </w:r>
      <w:r>
        <w:rPr>
          <w:rFonts w:hint="eastAsia" w:ascii="仿宋_GB2312" w:hAnsi="仿宋_GB2312" w:eastAsia="仿宋_GB2312" w:cs="仿宋_GB2312"/>
          <w:sz w:val="22"/>
          <w:szCs w:val="22"/>
        </w:rPr>
        <w:t>2025</w:t>
      </w:r>
      <w:r>
        <w:rPr>
          <w:rFonts w:ascii="仿宋_GB2312" w:hAnsi="仿宋_GB2312" w:eastAsia="仿宋_GB2312" w:cs="仿宋_GB2312"/>
          <w:sz w:val="22"/>
          <w:szCs w:val="22"/>
        </w:rPr>
        <w:t>年</w:t>
      </w:r>
      <w:r>
        <w:rPr>
          <w:rFonts w:hint="eastAsia" w:ascii="仿宋_GB2312" w:hAnsi="仿宋_GB2312" w:eastAsia="仿宋_GB2312" w:cs="仿宋_GB2312"/>
          <w:sz w:val="22"/>
          <w:szCs w:val="22"/>
        </w:rPr>
        <w:t>3</w:t>
      </w:r>
      <w:r>
        <w:rPr>
          <w:rFonts w:ascii="仿宋_GB2312" w:hAnsi="仿宋_GB2312" w:eastAsia="仿宋_GB2312" w:cs="仿宋_GB2312"/>
          <w:sz w:val="22"/>
          <w:szCs w:val="22"/>
        </w:rPr>
        <w:t>月</w:t>
      </w:r>
      <w:r>
        <w:rPr>
          <w:rFonts w:hint="eastAsia" w:ascii="仿宋_GB2312" w:hAnsi="仿宋_GB2312" w:eastAsia="仿宋_GB2312" w:cs="仿宋_GB2312"/>
          <w:sz w:val="22"/>
          <w:szCs w:val="22"/>
          <w:lang w:val="en-US" w:eastAsia="zh-CN"/>
        </w:rPr>
        <w:t>18</w:t>
      </w:r>
      <w:r>
        <w:rPr>
          <w:rFonts w:ascii="仿宋_GB2312" w:hAnsi="仿宋_GB2312" w:eastAsia="仿宋_GB2312" w:cs="仿宋_GB2312"/>
          <w:sz w:val="22"/>
          <w:szCs w:val="22"/>
        </w:rPr>
        <w:t>日</w:t>
      </w:r>
    </w:p>
    <w:p>
      <w:pPr>
        <w:spacing w:line="600" w:lineRule="exact"/>
        <w:jc w:val="center"/>
        <w:rPr>
          <w:rFonts w:hint="eastAsia" w:ascii="宋体" w:hAnsi="宋体"/>
          <w:b/>
          <w:w w:val="85"/>
          <w:sz w:val="36"/>
          <w:szCs w:val="36"/>
          <w:lang w:val="en-US" w:eastAsia="zh-CN"/>
        </w:rPr>
      </w:pPr>
      <w:r>
        <w:rPr>
          <w:rFonts w:hint="eastAsia" w:ascii="宋体" w:hAnsi="宋体" w:eastAsia="方正粗宋简体"/>
          <w:b/>
          <w:w w:val="85"/>
          <w:sz w:val="36"/>
          <w:szCs w:val="36"/>
        </w:rPr>
        <w:t>2024</w:t>
      </w:r>
      <w:r>
        <w:rPr>
          <w:rFonts w:ascii="宋体" w:hAnsi="宋体"/>
          <w:b/>
          <w:w w:val="85"/>
          <w:sz w:val="36"/>
          <w:szCs w:val="36"/>
        </w:rPr>
        <w:t>年度</w:t>
      </w:r>
      <w:r>
        <w:rPr>
          <w:rFonts w:hint="eastAsia" w:ascii="宋体" w:hAnsi="宋体"/>
          <w:b/>
          <w:w w:val="85"/>
          <w:sz w:val="36"/>
          <w:szCs w:val="36"/>
          <w:lang w:val="en-US" w:eastAsia="zh-CN"/>
        </w:rPr>
        <w:t>新晃侗族自治县市场监督管理局</w:t>
      </w:r>
    </w:p>
    <w:p>
      <w:pPr>
        <w:spacing w:line="600" w:lineRule="exact"/>
        <w:jc w:val="center"/>
        <w:rPr>
          <w:rFonts w:ascii="宋体" w:hAnsi="宋体"/>
          <w:b/>
          <w:w w:val="85"/>
          <w:sz w:val="36"/>
          <w:szCs w:val="36"/>
        </w:rPr>
      </w:pPr>
      <w:r>
        <w:rPr>
          <w:rFonts w:hint="eastAsia" w:ascii="宋体" w:hAnsi="宋体"/>
          <w:b/>
          <w:w w:val="85"/>
          <w:sz w:val="36"/>
          <w:szCs w:val="36"/>
        </w:rPr>
        <w:t>其他人员经费项目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pPr>
        <w:spacing w:line="560" w:lineRule="exact"/>
        <w:ind w:firstLine="643" w:firstLineChars="200"/>
        <w:jc w:val="left"/>
        <w:rPr>
          <w:rFonts w:ascii="仿宋_GB2312" w:hAnsi="仿宋_GB2312" w:eastAsia="仿宋_GB2312" w:cs="仿宋_GB2312"/>
          <w:bCs/>
          <w:sz w:val="32"/>
          <w:szCs w:val="32"/>
        </w:rPr>
      </w:pPr>
      <w:r>
        <w:rPr>
          <w:rFonts w:hint="eastAsia" w:ascii="宋体" w:hAnsi="宋体" w:cs="宋体"/>
          <w:b/>
          <w:sz w:val="32"/>
          <w:szCs w:val="32"/>
        </w:rPr>
        <w:t>一、基本情况</w:t>
      </w:r>
    </w:p>
    <w:p>
      <w:pPr>
        <w:spacing w:line="600" w:lineRule="exact"/>
        <w:ind w:firstLine="640" w:firstLineChars="200"/>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1、通过预算转指标（2024）0007号其他人员经费</w:t>
      </w:r>
      <w:bookmarkStart w:id="0" w:name="_GoBack"/>
      <w:bookmarkEnd w:id="0"/>
      <w:r>
        <w:rPr>
          <w:rFonts w:hint="eastAsia" w:ascii="仿宋_GB2312" w:hAnsi="仿宋_GB2312" w:eastAsia="仿宋_GB2312" w:cs="仿宋_GB2312"/>
          <w:sz w:val="32"/>
          <w:szCs w:val="32"/>
          <w:lang w:val="en-US" w:eastAsia="zh-CN" w:bidi="ar-SA"/>
        </w:rPr>
        <w:t>预算为5.18万元，共计5.18万元全部拨付到位。</w:t>
      </w:r>
    </w:p>
    <w:p>
      <w:pPr>
        <w:pStyle w:val="6"/>
        <w:spacing w:after="0" w:line="600" w:lineRule="exact"/>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2、资金投入和使用情况</w:t>
      </w:r>
    </w:p>
    <w:p>
      <w:pPr>
        <w:pStyle w:val="6"/>
        <w:spacing w:after="0" w:line="480" w:lineRule="auto"/>
        <w:ind w:left="0" w:firstLine="56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截止2024年12月，我</w:t>
      </w:r>
      <w:r>
        <w:rPr>
          <w:rFonts w:hint="eastAsia" w:ascii="仿宋_GB2312" w:hAnsi="仿宋_GB2312" w:eastAsia="仿宋_GB2312" w:cs="仿宋_GB2312"/>
          <w:sz w:val="32"/>
          <w:szCs w:val="32"/>
          <w:lang w:val="en-US" w:eastAsia="zh-CN"/>
        </w:rPr>
        <w:t>局</w:t>
      </w:r>
      <w:r>
        <w:rPr>
          <w:rFonts w:hint="eastAsia" w:ascii="仿宋_GB2312" w:hAnsi="仿宋_GB2312" w:eastAsia="仿宋_GB2312" w:cs="仿宋_GB2312"/>
          <w:sz w:val="32"/>
          <w:szCs w:val="32"/>
        </w:rPr>
        <w:t>其他人员经费</w:t>
      </w:r>
      <w:r>
        <w:rPr>
          <w:rFonts w:hint="eastAsia" w:ascii="仿宋_GB2312" w:hAnsi="仿宋_GB2312" w:eastAsia="仿宋_GB2312" w:cs="仿宋_GB2312"/>
          <w:sz w:val="32"/>
          <w:szCs w:val="32"/>
          <w:lang w:val="en-US" w:eastAsia="zh-CN"/>
        </w:rPr>
        <w:t>5.18</w:t>
      </w:r>
      <w:r>
        <w:rPr>
          <w:rFonts w:hint="eastAsia" w:ascii="仿宋_GB2312" w:hAnsi="仿宋_GB2312" w:eastAsia="仿宋_GB2312" w:cs="仿宋_GB2312"/>
          <w:sz w:val="32"/>
          <w:szCs w:val="32"/>
        </w:rPr>
        <w:t>万元全部拨付到位，到位率为100%。</w:t>
      </w:r>
    </w:p>
    <w:p>
      <w:pPr>
        <w:pStyle w:val="6"/>
        <w:spacing w:after="0" w:line="480" w:lineRule="auto"/>
        <w:ind w:left="0" w:firstLine="56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项目资金执行情况：截止2024年12月，本年度支付其他人员经费</w:t>
      </w:r>
      <w:r>
        <w:rPr>
          <w:rFonts w:hint="eastAsia" w:ascii="仿宋_GB2312" w:hAnsi="仿宋_GB2312" w:eastAsia="仿宋_GB2312" w:cs="仿宋_GB2312"/>
          <w:sz w:val="32"/>
          <w:szCs w:val="32"/>
          <w:lang w:val="en-US" w:eastAsia="zh-CN"/>
        </w:rPr>
        <w:t>5.18</w:t>
      </w:r>
      <w:r>
        <w:rPr>
          <w:rFonts w:hint="eastAsia" w:ascii="仿宋_GB2312" w:hAnsi="仿宋_GB2312" w:eastAsia="仿宋_GB2312" w:cs="仿宋_GB2312"/>
          <w:sz w:val="32"/>
          <w:szCs w:val="32"/>
        </w:rPr>
        <w:t>万元。</w:t>
      </w:r>
    </w:p>
    <w:p>
      <w:pPr>
        <w:pStyle w:val="6"/>
        <w:spacing w:after="0" w:line="480" w:lineRule="auto"/>
        <w:ind w:left="0" w:firstLine="56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项目实施情况：本年度年初预算时把遗属人员生活补助及单位离退休人员独生子女补助列入了该项预算。</w:t>
      </w:r>
    </w:p>
    <w:p>
      <w:pPr>
        <w:pStyle w:val="6"/>
        <w:spacing w:after="0" w:line="480" w:lineRule="auto"/>
        <w:ind w:left="0" w:firstLine="56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项目绩效目标：</w:t>
      </w:r>
      <w:r>
        <w:rPr>
          <w:rFonts w:hint="eastAsia" w:ascii="仿宋_GB2312" w:hAnsi="仿宋_GB2312" w:eastAsia="仿宋_GB2312" w:cs="仿宋_GB2312"/>
          <w:sz w:val="32"/>
          <w:szCs w:val="32"/>
          <w:lang w:val="en-US" w:eastAsia="zh-CN"/>
        </w:rPr>
        <w:t>保障遗属人员、独生子女奖励对象福利待遇及时足额发放到位，提升受补助人员生活水平。</w:t>
      </w:r>
    </w:p>
    <w:p>
      <w:pPr>
        <w:spacing w:line="560" w:lineRule="exact"/>
        <w:ind w:firstLine="643" w:firstLineChars="200"/>
        <w:jc w:val="left"/>
        <w:rPr>
          <w:rFonts w:ascii="宋体" w:hAnsi="宋体" w:cs="宋体"/>
          <w:b/>
          <w:sz w:val="32"/>
          <w:szCs w:val="32"/>
        </w:rPr>
      </w:pPr>
      <w:r>
        <w:rPr>
          <w:rFonts w:hint="eastAsia" w:ascii="宋体" w:hAnsi="宋体" w:cs="宋体"/>
          <w:b/>
          <w:sz w:val="32"/>
          <w:szCs w:val="32"/>
        </w:rPr>
        <w:t>二、绩效评价工作开展情况</w:t>
      </w:r>
    </w:p>
    <w:p>
      <w:pPr>
        <w:spacing w:line="600" w:lineRule="exact"/>
        <w:ind w:firstLine="640" w:firstLineChars="200"/>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（一）绩效评价目的、对象和范围。</w:t>
      </w:r>
    </w:p>
    <w:p>
      <w:pPr>
        <w:spacing w:line="600" w:lineRule="exact"/>
        <w:ind w:firstLine="640" w:firstLineChars="200"/>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绩效评价目的：在项目期内充分合理使用预算，避免出现专项资金滞留及挪用等违规违纪行为。强化绩效和责任意识，清晰了解资金发放完成情况及进一步规范专项资金管理，切实提高专项资金使用效益。</w:t>
      </w:r>
    </w:p>
    <w:p>
      <w:pPr>
        <w:spacing w:line="600" w:lineRule="exact"/>
        <w:ind w:firstLine="640" w:firstLineChars="200"/>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评价对象：其他人员经费专项经费资金项目。</w:t>
      </w:r>
    </w:p>
    <w:p>
      <w:pPr>
        <w:spacing w:line="600" w:lineRule="exact"/>
        <w:ind w:firstLine="640" w:firstLineChars="200"/>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评价范围：包括2024年其他人员经费专项经费资金项目。</w:t>
      </w:r>
    </w:p>
    <w:p>
      <w:pPr>
        <w:spacing w:line="600" w:lineRule="exact"/>
        <w:ind w:firstLine="640" w:firstLineChars="200"/>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（二）绩效评价原则、评价指标体系（附表说明）、评价方法、评价标准等。</w:t>
      </w:r>
    </w:p>
    <w:p>
      <w:pPr>
        <w:spacing w:line="600" w:lineRule="exact"/>
        <w:ind w:firstLine="640" w:firstLineChars="200"/>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spacing w:line="600" w:lineRule="exact"/>
        <w:ind w:firstLine="640" w:firstLineChars="200"/>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（三）绩效评价工作过程：认真参照项目绩效评分标准，对执行情况逐项进行量化评分。</w:t>
      </w:r>
    </w:p>
    <w:p>
      <w:pPr>
        <w:spacing w:line="600" w:lineRule="exact"/>
        <w:ind w:firstLine="640" w:firstLineChars="200"/>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三、综合评价情况及评价结论（附相关评分表）</w:t>
      </w:r>
    </w:p>
    <w:p>
      <w:pPr>
        <w:spacing w:line="600" w:lineRule="exact"/>
        <w:ind w:firstLine="640" w:firstLineChars="200"/>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根据《湖南省预算支出绩效评价管理办法》（湘财绩〔2020〕7号）和《新晃侗族自治县财政局关于开展2024年度部门预算支出绩效自评工作的通知》（晃财绩〔2025〕1号）等文件要求，我单位成立了绩效自评工作小组，对其他人员经费项目支出开展了绩效自评工作。组织人员收集项目资料，检查会计凭证，在规定的时间内，对项目的实施过程进行了全面、科学、细致的评价。</w:t>
      </w:r>
    </w:p>
    <w:p>
      <w:pPr>
        <w:spacing w:line="600" w:lineRule="exact"/>
        <w:ind w:firstLine="640" w:firstLineChars="200"/>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本次自评，对照项目绩效目标，从项目预算编制、项目组织管理、资金使用、项目产出、项目效益、满意度等方面逐一分析评价，总体自评得分100分，绩效评价等级为“优”。</w:t>
      </w:r>
    </w:p>
    <w:p>
      <w:pPr>
        <w:spacing w:line="560" w:lineRule="exact"/>
        <w:ind w:firstLine="643" w:firstLineChars="200"/>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四、绩效评价指标分析</w:t>
      </w:r>
    </w:p>
    <w:p>
      <w:pPr>
        <w:spacing w:line="600" w:lineRule="exact"/>
        <w:ind w:firstLine="640" w:firstLineChars="200"/>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（一）项目决策情况：通过预算转指标（2024）0007号在年初对该项专项经费认真列好支出预算，严格按照专项资金管理制度保证资金及时足额发放到位。</w:t>
      </w:r>
    </w:p>
    <w:p>
      <w:pPr>
        <w:spacing w:line="600" w:lineRule="exact"/>
        <w:ind w:firstLine="640" w:firstLineChars="200"/>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（二）项目过程情况：此项项目资金严格按照专项资金管理办法，按规定控制资金使用范围。确保遗属人员、独生子女奖励对象福利待遇及时发放到位。</w:t>
      </w:r>
    </w:p>
    <w:p>
      <w:pPr>
        <w:spacing w:line="600" w:lineRule="exact"/>
        <w:ind w:firstLine="640" w:firstLineChars="200"/>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（三）项目产出情况：</w:t>
      </w:r>
    </w:p>
    <w:p>
      <w:pPr>
        <w:spacing w:line="600" w:lineRule="exact"/>
        <w:ind w:firstLine="640" w:firstLineChars="200"/>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1、产出指标：数量指标是遗属补助人数，年度指标值12人，截止2024年12月止实际完成值12人，；质量指标是发放准确率，年度指标值100%，截止2024年12月止实际完成值100%；时效指标是发放及时率，年度指标值100%，截止2024年12月止实际完成值100%。</w:t>
      </w:r>
    </w:p>
    <w:p>
      <w:pPr>
        <w:spacing w:line="600" w:lineRule="exact"/>
        <w:ind w:firstLine="640" w:firstLineChars="200"/>
        <w:rPr>
          <w:rFonts w:hint="default"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2、效益指标：社会效益指标是提升人员生活水平，年度指标值提升，截止2024年12月止实际完成值提升。</w:t>
      </w:r>
    </w:p>
    <w:p>
      <w:pPr>
        <w:spacing w:line="600" w:lineRule="exact"/>
        <w:ind w:firstLine="640" w:firstLineChars="200"/>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3、满意度指标：服务对象满意度指标是其他人员满意度年度指标值95%，截止2024年12月止实际完成值95%。</w:t>
      </w:r>
    </w:p>
    <w:p>
      <w:pPr>
        <w:spacing w:line="600" w:lineRule="exact"/>
        <w:ind w:firstLine="640" w:firstLineChars="200"/>
        <w:rPr>
          <w:rFonts w:hint="default"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4、成本指标：经济成本指标是其他人员经费，年度指标值5.175万元，截止2024年12月止实际完成值5.175万元。</w:t>
      </w:r>
    </w:p>
    <w:p>
      <w:pPr>
        <w:spacing w:line="600" w:lineRule="exact"/>
        <w:ind w:firstLine="640" w:firstLineChars="200"/>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（四）项目效益情况：长期稳步提升其他人员生活水平。</w:t>
      </w:r>
    </w:p>
    <w:p>
      <w:pPr>
        <w:spacing w:line="560" w:lineRule="exact"/>
        <w:ind w:left="0" w:firstLine="643" w:firstLineChars="200"/>
        <w:jc w:val="left"/>
        <w:rPr>
          <w:rFonts w:ascii="宋体" w:hAnsi="宋体" w:cs="宋体"/>
          <w:b/>
          <w:sz w:val="32"/>
          <w:szCs w:val="32"/>
        </w:rPr>
      </w:pPr>
      <w:r>
        <w:rPr>
          <w:rFonts w:hint="eastAsia" w:ascii="宋体" w:hAnsi="宋体" w:cs="宋体"/>
          <w:b/>
          <w:sz w:val="32"/>
          <w:szCs w:val="32"/>
        </w:rPr>
        <w:t>五、主要经验及做法、存在的问题及原因分析</w:t>
      </w:r>
    </w:p>
    <w:p>
      <w:pPr>
        <w:spacing w:line="600" w:lineRule="exact"/>
        <w:ind w:firstLine="640" w:firstLineChars="200"/>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经验及做法：专款专用，保障其他人员经费及时足额发放到位。</w:t>
      </w:r>
    </w:p>
    <w:p>
      <w:pPr>
        <w:numPr>
          <w:ilvl w:val="0"/>
          <w:numId w:val="1"/>
        </w:numPr>
        <w:spacing w:line="560" w:lineRule="exact"/>
        <w:ind w:left="400" w:leftChars="200" w:firstLine="321" w:firstLineChars="100"/>
        <w:jc w:val="left"/>
        <w:rPr>
          <w:rFonts w:ascii="宋体" w:hAnsi="宋体" w:cs="宋体"/>
          <w:b/>
          <w:sz w:val="32"/>
          <w:szCs w:val="32"/>
        </w:rPr>
      </w:pPr>
      <w:r>
        <w:rPr>
          <w:rFonts w:hint="eastAsia" w:ascii="宋体" w:hAnsi="宋体" w:cs="宋体"/>
          <w:b/>
          <w:sz w:val="32"/>
          <w:szCs w:val="32"/>
        </w:rPr>
        <w:t>有关建议</w:t>
      </w:r>
    </w:p>
    <w:p>
      <w:pPr>
        <w:spacing w:line="600" w:lineRule="exact"/>
        <w:ind w:firstLine="640" w:firstLineChars="200"/>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科学合理编制预算，严格执行预算。完善管理制度，进一步加强管理。</w:t>
      </w:r>
    </w:p>
    <w:p>
      <w:pPr>
        <w:spacing w:line="560" w:lineRule="exact"/>
        <w:ind w:firstLine="643" w:firstLineChars="200"/>
        <w:jc w:val="left"/>
        <w:rPr>
          <w:rFonts w:ascii="宋体" w:hAnsi="宋体" w:cs="宋体"/>
          <w:b/>
          <w:sz w:val="32"/>
          <w:szCs w:val="32"/>
        </w:rPr>
      </w:pPr>
      <w:r>
        <w:rPr>
          <w:rFonts w:hint="eastAsia" w:ascii="宋体" w:hAnsi="宋体" w:cs="宋体"/>
          <w:b/>
          <w:sz w:val="32"/>
          <w:szCs w:val="32"/>
        </w:rPr>
        <w:t>七、其他需要说明的问题</w:t>
      </w:r>
    </w:p>
    <w:p>
      <w:pPr>
        <w:spacing w:line="560" w:lineRule="exact"/>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pPr>
        <w:pStyle w:val="5"/>
        <w:widowControl w:val="0"/>
        <w:spacing w:before="0" w:beforeAutospacing="0" w:after="0" w:afterAutospacing="0" w:line="520" w:lineRule="exact"/>
        <w:ind w:left="3520" w:leftChars="320" w:hanging="2880" w:hangingChars="9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br w:type="textWrapping"/>
      </w:r>
      <w:r>
        <w:rPr>
          <w:rFonts w:hint="eastAsia" w:ascii="仿宋" w:hAnsi="仿宋" w:eastAsia="仿宋" w:cs="Times New Roman"/>
          <w:sz w:val="32"/>
          <w:szCs w:val="32"/>
          <w:lang w:val="en-US" w:eastAsia="zh-CN" w:bidi="ar-SA"/>
        </w:rPr>
        <w:t>新晃侗族自治县市场监督管理局</w:t>
      </w:r>
    </w:p>
    <w:p>
      <w:pPr>
        <w:ind w:firstLine="4480" w:firstLineChars="1400"/>
        <w:jc w:val="both"/>
        <w:rPr>
          <w:rFonts w:ascii="仿宋_GB2312" w:hAnsi="仿宋_GB2312" w:eastAsia="仿宋_GB2312" w:cs="仿宋_GB2312"/>
          <w:sz w:val="32"/>
          <w:szCs w:val="32"/>
        </w:rPr>
      </w:pPr>
      <w:r>
        <w:rPr>
          <w:rFonts w:hint="eastAsia" w:ascii="仿宋" w:hAnsi="仿宋" w:eastAsia="仿宋" w:cs="Times New Roman"/>
          <w:sz w:val="32"/>
          <w:szCs w:val="32"/>
          <w:lang w:val="en-US" w:eastAsia="zh-CN" w:bidi="ar-SA"/>
        </w:rPr>
        <w:t>2025年3月18日</w:t>
      </w:r>
    </w:p>
    <w:sectPr>
      <w:pgSz w:w="11906" w:h="16838"/>
      <w:pgMar w:top="363" w:right="1800" w:bottom="476"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Segoe Print"/>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方正粗宋简体">
    <w:altName w:val="宋体"/>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BD9735"/>
    <w:multiLevelType w:val="singleLevel"/>
    <w:tmpl w:val="33BD9735"/>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kwMTUwMzQ5ZGJlYWVjZDMyZmViZmMxZmNjYmVlZDUifQ=="/>
  </w:docVars>
  <w:rsids>
    <w:rsidRoot w:val="0099413F"/>
    <w:rsid w:val="0099413F"/>
    <w:rsid w:val="00BD4E79"/>
    <w:rsid w:val="00CA61D4"/>
    <w:rsid w:val="01CD7B04"/>
    <w:rsid w:val="047A39D5"/>
    <w:rsid w:val="078C7822"/>
    <w:rsid w:val="0E3759DB"/>
    <w:rsid w:val="11076E5D"/>
    <w:rsid w:val="175B6C59"/>
    <w:rsid w:val="17A661EB"/>
    <w:rsid w:val="1AD31C39"/>
    <w:rsid w:val="1FE73A01"/>
    <w:rsid w:val="21CD17AD"/>
    <w:rsid w:val="2BDA2E28"/>
    <w:rsid w:val="30024B55"/>
    <w:rsid w:val="316A69FC"/>
    <w:rsid w:val="3A0E0140"/>
    <w:rsid w:val="405A2BCB"/>
    <w:rsid w:val="4237610E"/>
    <w:rsid w:val="44890AEF"/>
    <w:rsid w:val="45D74041"/>
    <w:rsid w:val="47EF4992"/>
    <w:rsid w:val="4AC960E9"/>
    <w:rsid w:val="4B270615"/>
    <w:rsid w:val="4C235CCD"/>
    <w:rsid w:val="4C3D6D8F"/>
    <w:rsid w:val="514754D2"/>
    <w:rsid w:val="55055126"/>
    <w:rsid w:val="5D3715D8"/>
    <w:rsid w:val="61CA33D6"/>
    <w:rsid w:val="6C861C34"/>
    <w:rsid w:val="793733E9"/>
    <w:rsid w:val="79D66C7D"/>
    <w:rsid w:val="7CE301F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spacing w:after="120"/>
    </w:pPr>
  </w:style>
  <w:style w:type="paragraph" w:styleId="3">
    <w:name w:val="footer"/>
    <w:basedOn w:val="1"/>
    <w:link w:val="12"/>
    <w:autoRedefine/>
    <w:qFormat/>
    <w:uiPriority w:val="0"/>
    <w:pPr>
      <w:tabs>
        <w:tab w:val="center" w:pos="4153"/>
        <w:tab w:val="right" w:pos="8306"/>
      </w:tabs>
      <w:snapToGrid w:val="0"/>
      <w:spacing w:line="240" w:lineRule="atLeast"/>
      <w:jc w:val="left"/>
    </w:pPr>
    <w:rPr>
      <w:sz w:val="18"/>
      <w:szCs w:val="18"/>
    </w:rPr>
  </w:style>
  <w:style w:type="paragraph" w:styleId="4">
    <w:name w:val="header"/>
    <w:basedOn w:val="1"/>
    <w:link w:val="11"/>
    <w:autoRedefine/>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5">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styleId="6">
    <w:name w:val="Body Text First Indent"/>
    <w:basedOn w:val="2"/>
    <w:autoRedefine/>
    <w:qFormat/>
    <w:uiPriority w:val="0"/>
    <w:pPr>
      <w:spacing w:after="200"/>
      <w:ind w:firstLine="100" w:firstLineChars="100"/>
      <w:jc w:val="center"/>
    </w:pPr>
    <w:rPr>
      <w:rFonts w:ascii="??_GB2312" w:hAnsi="??_GB2312" w:cs="??_GB2312"/>
      <w:sz w:val="24"/>
    </w:rPr>
  </w:style>
  <w:style w:type="character" w:styleId="9">
    <w:name w:val="Strong"/>
    <w:autoRedefine/>
    <w:qFormat/>
    <w:uiPriority w:val="0"/>
    <w:rPr>
      <w:b/>
      <w:bCs/>
    </w:rPr>
  </w:style>
  <w:style w:type="paragraph" w:styleId="10">
    <w:name w:val="List Paragraph"/>
    <w:basedOn w:val="1"/>
    <w:autoRedefine/>
    <w:unhideWhenUsed/>
    <w:qFormat/>
    <w:uiPriority w:val="99"/>
    <w:pPr>
      <w:ind w:firstLine="420" w:firstLineChars="200"/>
    </w:pPr>
  </w:style>
  <w:style w:type="character" w:customStyle="1" w:styleId="11">
    <w:name w:val="页眉 Char"/>
    <w:basedOn w:val="8"/>
    <w:link w:val="4"/>
    <w:autoRedefine/>
    <w:qFormat/>
    <w:uiPriority w:val="0"/>
    <w:rPr>
      <w:rFonts w:ascii="Times New Roman" w:hAnsi="Times New Roman" w:eastAsia="宋体" w:cs="Times New Roman"/>
      <w:sz w:val="18"/>
      <w:szCs w:val="18"/>
    </w:rPr>
  </w:style>
  <w:style w:type="character" w:customStyle="1" w:styleId="12">
    <w:name w:val="页脚 Char"/>
    <w:basedOn w:val="8"/>
    <w:link w:val="3"/>
    <w:autoRedefine/>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lfkj</Company>
  <Pages>4</Pages>
  <Words>2193</Words>
  <Characters>2403</Characters>
  <Lines>27</Lines>
  <Paragraphs>7</Paragraphs>
  <TotalTime>15</TotalTime>
  <ScaleCrop>false</ScaleCrop>
  <LinksUpToDate>false</LinksUpToDate>
  <CharactersWithSpaces>2498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2025-02-26T01:21:00Z</dcterms:created>
  <dc:creator>Administrator</dc:creator>
  <cp:lastModifiedBy>Administrator</cp:lastModifiedBy>
  <cp:lastPrinted>2025-03-24T01:38:00Z</cp:lastPrinted>
  <dcterms:modified xsi:type="dcterms:W3CDTF">2025-04-09T08:31:13Z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KSOTemplateDocerSaveRecord">
    <vt:lpwstr>eyJoZGlkIjoiNjY0NTc3NmZjZDdiMWJhZWYxOTcyNDRiZmVkYzQ0ZmIifQ==</vt:lpwstr>
  </property>
  <property fmtid="{D5CDD505-2E9C-101B-9397-08002B2CF9AE}" pid="4" name="ICV">
    <vt:lpwstr>91DABF95C5654C34944BBF5742D6F0DA_13</vt:lpwstr>
  </property>
</Properties>
</file>